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 w:rsidR="004F661E">
        <w:rPr>
          <w:rFonts w:asciiTheme="minorHAnsi" w:hAnsiTheme="minorHAnsi" w:cstheme="minorHAnsi"/>
          <w:b/>
        </w:rPr>
        <w:t>3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044CF9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044CF9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DF2257">
        <w:rPr>
          <w:rFonts w:asciiTheme="minorHAnsi" w:eastAsia="Times New Roman" w:hAnsiTheme="minorHAnsi" w:cstheme="minorHAnsi"/>
          <w:lang w:eastAsia="pt-BR"/>
        </w:rPr>
        <w:t>E</w:t>
      </w:r>
      <w:r w:rsidRPr="00044CF9">
        <w:rPr>
          <w:rFonts w:asciiTheme="minorHAnsi" w:eastAsia="Times New Roman" w:hAnsiTheme="minorHAnsi" w:cstheme="minorHAnsi"/>
          <w:lang w:eastAsia="pt-BR"/>
        </w:rPr>
        <w:t xml:space="preserve"> 0</w:t>
      </w:r>
      <w:r w:rsidR="00DF2257">
        <w:rPr>
          <w:rFonts w:asciiTheme="minorHAnsi" w:eastAsia="Times New Roman" w:hAnsiTheme="minorHAnsi" w:cstheme="minorHAnsi"/>
          <w:lang w:eastAsia="pt-BR"/>
        </w:rPr>
        <w:t>2</w:t>
      </w:r>
      <w:r w:rsidR="00DF142F">
        <w:rPr>
          <w:rFonts w:asciiTheme="minorHAnsi" w:eastAsia="Times New Roman" w:hAnsiTheme="minorHAnsi" w:cstheme="minorHAnsi"/>
          <w:lang w:eastAsia="pt-BR"/>
        </w:rPr>
        <w:t>8</w:t>
      </w:r>
      <w:r w:rsidRPr="00044CF9">
        <w:rPr>
          <w:rFonts w:asciiTheme="minorHAnsi" w:eastAsia="Times New Roman" w:hAnsiTheme="minorHAnsi" w:cstheme="minorHAnsi"/>
          <w:lang w:eastAsia="pt-BR"/>
        </w:rPr>
        <w:t>/2021:</w:t>
      </w:r>
    </w:p>
    <w:p w:rsidR="00CB0A11" w:rsidRPr="00044CF9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4F661E" w:rsidRPr="004F661E" w:rsidRDefault="004F661E" w:rsidP="004F66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gramStart"/>
      <w:r w:rsidRPr="004F661E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1)Pergunta</w:t>
      </w:r>
      <w:proofErr w:type="gramEnd"/>
      <w:r w:rsidRPr="004F661E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:</w:t>
      </w:r>
      <w:r w:rsidRPr="004F661E">
        <w:rPr>
          <w:rFonts w:asciiTheme="minorHAnsi" w:hAnsiTheme="minorHAnsi" w:cstheme="minorHAnsi"/>
          <w:color w:val="000000"/>
          <w:bdr w:val="none" w:sz="0" w:space="0" w:color="auto" w:frame="1"/>
        </w:rPr>
        <w:t>  A Prefeitura não irá pagar comissão ao leiloeiro, vai receber o produto do leilão integralmente e ainda quer a comissão que o arrematante pagará para o Leiloeiro Público pelos seus serviços?</w:t>
      </w:r>
    </w:p>
    <w:p w:rsidR="004F661E" w:rsidRPr="004F661E" w:rsidRDefault="004F661E" w:rsidP="004F66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F661E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Resposta:</w:t>
      </w:r>
      <w:r w:rsidRPr="004F661E">
        <w:rPr>
          <w:rFonts w:asciiTheme="minorHAnsi" w:hAnsiTheme="minorHAnsi" w:cstheme="minorHAnsi"/>
          <w:color w:val="000000"/>
          <w:bdr w:val="none" w:sz="0" w:space="0" w:color="auto" w:frame="1"/>
        </w:rPr>
        <w:t> Preliminarmente esclarecemos que a taxa de comissão que é critério de julgamento para este certame, não se refere a taxa que dispõe o parágrafo único do ar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t. 24, do Decreto 21.981/1932, </w:t>
      </w:r>
      <w:r w:rsidRPr="004F661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que é adimplida pelo arrematante/comprador, mas sim a taxa prevista no caput, do art. 24 da mesma legislação, a ser paga pela Administração Pública/Contratante ao leiloeiro. Importante ressaltar, que conforme verificado no item 7.14 da minuta do edital, a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forma de apresentação do lance </w:t>
      </w:r>
      <w:r w:rsidRPr="004F661E">
        <w:rPr>
          <w:rFonts w:asciiTheme="minorHAnsi" w:hAnsiTheme="minorHAnsi" w:cstheme="minorHAnsi"/>
          <w:color w:val="000000"/>
          <w:bdr w:val="none" w:sz="0" w:space="0" w:color="auto" w:frame="1"/>
        </w:rPr>
        <w:t>e seu julgamento foram estabelecidos da seguinte forma: </w:t>
      </w:r>
      <w:r w:rsidRPr="004F661E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7.14 </w:t>
      </w:r>
      <w:r w:rsidRPr="004F661E">
        <w:rPr>
          <w:rFonts w:asciiTheme="minorHAnsi" w:hAnsiTheme="minorHAnsi" w:cstheme="minorHAnsi"/>
          <w:color w:val="000000"/>
          <w:bdr w:val="none" w:sz="0" w:space="0" w:color="auto" w:frame="1"/>
        </w:rPr>
        <w:t>O lance deverá ser ofertado pelo valor total do item, aferido para a menor taxa de comissão a ser paga pelo Comitente (Administração) ao Leiloeiro Público Oficial. Neste passo, como forma de dar mais transparência ao certame, esclarecemos que a minuta do edital foi modificada através de erratas, que devem ser acompanhadas pelo licitante interessado. </w:t>
      </w:r>
    </w:p>
    <w:p w:rsidR="004F661E" w:rsidRPr="004F661E" w:rsidRDefault="004F661E" w:rsidP="004F66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F661E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:rsidR="004F661E" w:rsidRPr="004F661E" w:rsidRDefault="004F661E" w:rsidP="004F66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F661E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2)</w:t>
      </w:r>
      <w:r w:rsidRPr="004F661E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Pr="004F661E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Pergunta: </w:t>
      </w:r>
      <w:r w:rsidRPr="004F661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O leilão de veículos apreendidos é regido pela Resolução 623 do Contran que diz que os veículos ANTES de serem levados à hasta públicas devem ser periciados (com laudo de vistoria aceito pelo DETRAN), deve ser enviada carta de notificação </w:t>
      </w:r>
      <w:proofErr w:type="gramStart"/>
      <w:r w:rsidRPr="004F661E">
        <w:rPr>
          <w:rFonts w:asciiTheme="minorHAnsi" w:hAnsiTheme="minorHAnsi" w:cstheme="minorHAnsi"/>
          <w:color w:val="000000"/>
          <w:bdr w:val="none" w:sz="0" w:space="0" w:color="auto" w:frame="1"/>
        </w:rPr>
        <w:t>aos proprietário</w:t>
      </w:r>
      <w:proofErr w:type="gramEnd"/>
      <w:r w:rsidRPr="004F661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e/ou alienantes de cada veículo e deve ser publicado o edital de notificação.</w:t>
      </w:r>
    </w:p>
    <w:p w:rsidR="004F661E" w:rsidRPr="004F661E" w:rsidRDefault="004F661E" w:rsidP="004F66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F661E">
        <w:rPr>
          <w:rFonts w:asciiTheme="minorHAnsi" w:hAnsiTheme="minorHAnsi" w:cstheme="minorHAnsi"/>
          <w:color w:val="000000"/>
          <w:bdr w:val="none" w:sz="0" w:space="0" w:color="auto" w:frame="1"/>
        </w:rPr>
        <w:t>A Prefeitura já realizou estes trâmites? Ou irá passar estas obrigações ao Leiloeiro vencedor, pois caso passe, o Leiloeiro não pode arcar com estas despesas ANTERIORES ao procedimento de leilão. Ademais, estas despesas devem ser tiradas do produto do leilão, conforme a preceitua a própria resolução.</w:t>
      </w:r>
    </w:p>
    <w:p w:rsidR="004F661E" w:rsidRPr="004F661E" w:rsidRDefault="004F661E" w:rsidP="004F66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F661E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Resposta:</w:t>
      </w:r>
      <w:r w:rsidRPr="004F661E">
        <w:rPr>
          <w:rFonts w:asciiTheme="minorHAnsi" w:hAnsiTheme="minorHAnsi" w:cstheme="minorHAnsi"/>
          <w:color w:val="000000"/>
          <w:bdr w:val="none" w:sz="0" w:space="0" w:color="auto" w:frame="1"/>
        </w:rPr>
        <w:t> Informamos que o trâmite questionado será  realizado no momento oportuno, após a realização do presente certame, esclarecemos que é de suma importância que o licitante interessado, analise minuciosamente todo edital, a cláusula quarta da minuta contratual que além de prever todas as obrigações contratuais do licitante vencedor, também descreve, que o Leiloeiro responsabilizar-se-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á</w:t>
      </w:r>
      <w:r w:rsidRPr="004F661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por todos os recursos e insumos necessários ao perfeito cumprimento do objeto do contrato, devendo estar incluídas nos preços propostos todas as despesas necessárias à perfeita execução dos serviços, caso se sagre como vencedor do procedimento licitatório. O objeto do presente edital é claro: Contratação de serviços de Leiloeiro para </w:t>
      </w:r>
      <w:r w:rsidRPr="004F661E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preparação</w:t>
      </w:r>
      <w:r w:rsidRPr="004F661E">
        <w:rPr>
          <w:rFonts w:asciiTheme="minorHAnsi" w:hAnsiTheme="minorHAnsi" w:cstheme="minorHAnsi"/>
          <w:color w:val="000000"/>
          <w:bdr w:val="none" w:sz="0" w:space="0" w:color="auto" w:frame="1"/>
        </w:rPr>
        <w:t>, </w:t>
      </w:r>
      <w:r w:rsidRPr="004F661E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organização</w:t>
      </w:r>
      <w:r w:rsidRPr="004F661E">
        <w:rPr>
          <w:rFonts w:asciiTheme="minorHAnsi" w:hAnsiTheme="minorHAnsi" w:cstheme="minorHAnsi"/>
          <w:color w:val="000000"/>
          <w:bdr w:val="none" w:sz="0" w:space="0" w:color="auto" w:frame="1"/>
        </w:rPr>
        <w:t>, </w:t>
      </w:r>
      <w:r w:rsidRPr="004F661E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 realização</w:t>
      </w:r>
      <w:r w:rsidRPr="004F661E">
        <w:rPr>
          <w:rFonts w:asciiTheme="minorHAnsi" w:hAnsiTheme="minorHAnsi" w:cstheme="minorHAnsi"/>
          <w:color w:val="000000"/>
          <w:bdr w:val="none" w:sz="0" w:space="0" w:color="auto" w:frame="1"/>
        </w:rPr>
        <w:t> e </w:t>
      </w:r>
      <w:r w:rsidRPr="004F661E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condução</w:t>
      </w:r>
      <w:r w:rsidRPr="004F661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de Hasta Pública, para alienação  onerosa de veículos recuperáveis e irrecuperáveis, e dos engenhos apreendidos e acautelados no Depósito Público Municipal considerados inservíveis, de não uso da Prefeitura Municipal de Niterói, ficando certo, que o profissional contratado será responsável pela  elaboração para Edital da Hasta Pública a ser realizada, conforme especificações constantes na tabela I e dos demais itens do termo de </w:t>
      </w:r>
      <w:r w:rsidRPr="004F661E">
        <w:rPr>
          <w:rFonts w:asciiTheme="minorHAnsi" w:hAnsiTheme="minorHAnsi" w:cstheme="minorHAnsi"/>
          <w:color w:val="000000"/>
          <w:bdr w:val="none" w:sz="0" w:space="0" w:color="auto" w:frame="1"/>
        </w:rPr>
        <w:lastRenderedPageBreak/>
        <w:t>referência, especificados e quantificados na forma da proposta de preços (Anexo 4) e Termo de Referência (Anexo 8). </w:t>
      </w:r>
    </w:p>
    <w:p w:rsidR="004F661E" w:rsidRPr="004F661E" w:rsidRDefault="004F661E" w:rsidP="004F66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F661E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:rsidR="004F661E" w:rsidRPr="004F661E" w:rsidRDefault="004F661E" w:rsidP="004F66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F661E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 3) Pergunta</w:t>
      </w:r>
      <w:r w:rsidRPr="004F661E">
        <w:rPr>
          <w:rFonts w:asciiTheme="minorHAnsi" w:hAnsiTheme="minorHAnsi" w:cstheme="minorHAnsi"/>
          <w:color w:val="000000"/>
          <w:bdr w:val="none" w:sz="0" w:space="0" w:color="auto" w:frame="1"/>
        </w:rPr>
        <w:t>: O Edital foi elaborado para empresa (Pessoas jurídicas) e o Leiloeiro é Pessoa Física, inclusive é proibido sob pena de destituição, ter sociedade ou constituir qualquer empresa.</w:t>
      </w:r>
    </w:p>
    <w:p w:rsidR="004F661E" w:rsidRPr="004F661E" w:rsidRDefault="004F661E" w:rsidP="004F66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F661E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Pr="004F661E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Resposta:</w:t>
      </w:r>
      <w:r w:rsidRPr="004F661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Diferentemente do alegado por V.Sa. </w:t>
      </w:r>
      <w:proofErr w:type="gramStart"/>
      <w:r w:rsidRPr="004F661E">
        <w:rPr>
          <w:rFonts w:asciiTheme="minorHAnsi" w:hAnsiTheme="minorHAnsi" w:cstheme="minorHAnsi"/>
          <w:color w:val="000000"/>
          <w:bdr w:val="none" w:sz="0" w:space="0" w:color="auto" w:frame="1"/>
        </w:rPr>
        <w:t>a</w:t>
      </w:r>
      <w:proofErr w:type="gramEnd"/>
      <w:r w:rsidRPr="004F661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IN nº72/2019,  em seu </w:t>
      </w:r>
      <w:proofErr w:type="spellStart"/>
      <w:r w:rsidRPr="004F661E">
        <w:rPr>
          <w:rFonts w:asciiTheme="minorHAnsi" w:hAnsiTheme="minorHAnsi" w:cstheme="minorHAnsi"/>
          <w:color w:val="000000"/>
          <w:bdr w:val="none" w:sz="0" w:space="0" w:color="auto" w:frame="1"/>
        </w:rPr>
        <w:t>art</w:t>
      </w:r>
      <w:proofErr w:type="spellEnd"/>
      <w:r w:rsidRPr="004F661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53 descreve o seguinte: É facultado ao leiloeiro registrar-se como </w:t>
      </w:r>
      <w:r w:rsidRPr="004F661E">
        <w:rPr>
          <w:rFonts w:asciiTheme="minorHAnsi" w:hAnsiTheme="minorHAnsi" w:cstheme="minorHAnsi"/>
          <w:b/>
          <w:bCs/>
          <w:color w:val="000000"/>
          <w:u w:val="single"/>
          <w:bdr w:val="none" w:sz="0" w:space="0" w:color="auto" w:frame="1"/>
        </w:rPr>
        <w:t>empresário individual,</w:t>
      </w:r>
      <w:r w:rsidRPr="004F661E">
        <w:rPr>
          <w:rFonts w:asciiTheme="minorHAnsi" w:hAnsiTheme="minorHAnsi" w:cstheme="minorHAnsi"/>
          <w:color w:val="000000"/>
          <w:bdr w:val="none" w:sz="0" w:space="0" w:color="auto" w:frame="1"/>
        </w:rPr>
        <w:t> em uma das Juntas Comerciais onde estiver matriculado, com possibilidade de abertura de filiais nas demais em que estiver matriculado. § 1º </w:t>
      </w:r>
      <w:r w:rsidRPr="004F661E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O objeto será restrito à atividade de leiloaria, o que não o isenta do cumprimento das obrigações dos empresários em geral</w:t>
      </w:r>
      <w:r w:rsidRPr="004F661E">
        <w:rPr>
          <w:rFonts w:asciiTheme="minorHAnsi" w:hAnsiTheme="minorHAnsi" w:cstheme="minorHAnsi"/>
          <w:color w:val="000000"/>
          <w:bdr w:val="none" w:sz="0" w:space="0" w:color="auto" w:frame="1"/>
        </w:rPr>
        <w:t>. Como se não bastasse, art. 71, da IN 72, estabelece o seguinte. Está impedido de exercer a profissão de leiloeiro: (...)II - aquele que vier a exercer atividade empresária cujo objeto </w:t>
      </w:r>
      <w:r w:rsidRPr="004F661E">
        <w:rPr>
          <w:rFonts w:asciiTheme="minorHAnsi" w:hAnsiTheme="minorHAnsi" w:cstheme="minorHAnsi"/>
          <w:b/>
          <w:bCs/>
          <w:i/>
          <w:iCs/>
          <w:color w:val="000000"/>
          <w:u w:val="single"/>
          <w:bdr w:val="none" w:sz="0" w:space="0" w:color="auto" w:frame="1"/>
        </w:rPr>
        <w:t>exceda</w:t>
      </w:r>
      <w:r w:rsidRPr="004F661E">
        <w:rPr>
          <w:rFonts w:asciiTheme="minorHAnsi" w:hAnsiTheme="minorHAnsi" w:cstheme="minorHAnsi"/>
          <w:color w:val="000000"/>
          <w:bdr w:val="none" w:sz="0" w:space="0" w:color="auto" w:frame="1"/>
        </w:rPr>
        <w:t> a leiloaria</w:t>
      </w:r>
      <w:proofErr w:type="gramStart"/>
      <w:r w:rsidRPr="004F661E">
        <w:rPr>
          <w:rFonts w:asciiTheme="minorHAnsi" w:hAnsiTheme="minorHAnsi" w:cstheme="minorHAnsi"/>
          <w:color w:val="000000"/>
          <w:bdr w:val="none" w:sz="0" w:space="0" w:color="auto" w:frame="1"/>
        </w:rPr>
        <w:t>(...)</w:t>
      </w:r>
      <w:proofErr w:type="gramEnd"/>
      <w:r w:rsidRPr="004F661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portanto, o Leiloeiro não apresenta-se somente como pessoa física. Como forma de dar mais transparência ao certame, esclarecemos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que foi publicada errata, onde </w:t>
      </w:r>
      <w:r w:rsidRPr="004F661E">
        <w:rPr>
          <w:rFonts w:asciiTheme="minorHAnsi" w:hAnsiTheme="minorHAnsi" w:cstheme="minorHAnsi"/>
          <w:color w:val="000000"/>
          <w:bdr w:val="none" w:sz="0" w:space="0" w:color="auto" w:frame="1"/>
        </w:rPr>
        <w:t>subitem 9.1.1.1 do Edital do Pregão Presencial N° 028/2021 passou a ter a seguinte redação: </w:t>
      </w:r>
      <w:r w:rsidRPr="004F661E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Item 9.1.1.1, alínea "a"</w:t>
      </w:r>
      <w:r w:rsidRPr="004F661E">
        <w:rPr>
          <w:rFonts w:asciiTheme="minorHAnsi" w:hAnsiTheme="minorHAnsi" w:cstheme="minorHAnsi"/>
          <w:color w:val="000000"/>
          <w:bdr w:val="none" w:sz="0" w:space="0" w:color="auto" w:frame="1"/>
        </w:rPr>
        <w:t>: onde se lê: "Cédula de identidade e CPF"; Leia-se: "Cópia da Carteira de Identidade (RG) e do CPF (Cadastro de Pessoas Físicas) se for pessoa física;".</w:t>
      </w:r>
    </w:p>
    <w:p w:rsidR="004F661E" w:rsidRPr="004F661E" w:rsidRDefault="004F661E" w:rsidP="004F66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F661E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bookmarkStart w:id="0" w:name="_GoBack"/>
      <w:bookmarkEnd w:id="0"/>
    </w:p>
    <w:p w:rsidR="00C71EF1" w:rsidRPr="004F661E" w:rsidRDefault="00C71EF1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4F661E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4F661E" w:rsidRDefault="00C71EF1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B0A11" w:rsidRPr="004F661E" w:rsidRDefault="00FD69F3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4F661E">
        <w:rPr>
          <w:rFonts w:asciiTheme="minorHAnsi" w:hAnsiTheme="minorHAnsi" w:cstheme="minorHAnsi"/>
          <w:bCs/>
          <w:i/>
          <w:lang w:eastAsia="pt-BR"/>
        </w:rPr>
        <w:t xml:space="preserve">Secretaria </w:t>
      </w:r>
      <w:r w:rsidR="00D649FE" w:rsidRPr="004F661E">
        <w:rPr>
          <w:rFonts w:asciiTheme="minorHAnsi" w:hAnsiTheme="minorHAnsi" w:cstheme="minorHAnsi"/>
          <w:bCs/>
          <w:i/>
          <w:lang w:eastAsia="pt-BR"/>
        </w:rPr>
        <w:t xml:space="preserve">Municipal </w:t>
      </w:r>
      <w:r w:rsidR="00DB5043" w:rsidRPr="004F661E">
        <w:rPr>
          <w:rFonts w:asciiTheme="minorHAnsi" w:hAnsiTheme="minorHAnsi" w:cstheme="minorHAnsi"/>
          <w:bCs/>
          <w:i/>
          <w:lang w:eastAsia="pt-BR"/>
        </w:rPr>
        <w:t xml:space="preserve">de </w:t>
      </w:r>
      <w:r w:rsidR="006B64BF" w:rsidRPr="004F661E">
        <w:rPr>
          <w:rFonts w:asciiTheme="minorHAnsi" w:hAnsiTheme="minorHAnsi" w:cstheme="minorHAnsi"/>
          <w:bCs/>
          <w:i/>
          <w:lang w:eastAsia="pt-BR"/>
        </w:rPr>
        <w:t>Conservação e Serviços Públicos</w:t>
      </w:r>
    </w:p>
    <w:sectPr w:rsidR="00CB0A11" w:rsidRPr="004F661E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 xml:space="preserve">Secretaria Municipal de </w:t>
    </w:r>
    <w:r w:rsidR="00DF142F">
      <w:rPr>
        <w:rFonts w:asciiTheme="minorHAnsi" w:hAnsiTheme="minorHAnsi" w:cstheme="minorHAnsi"/>
        <w:b/>
      </w:rPr>
      <w:t>Conservação e Serviços Públicos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4F661E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4BF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142F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A484673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863C5-E94A-41E6-A8A9-6A5CBEDC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2021-06-30T12:03:00Z</cp:lastPrinted>
  <dcterms:created xsi:type="dcterms:W3CDTF">2021-10-26T16:42:00Z</dcterms:created>
  <dcterms:modified xsi:type="dcterms:W3CDTF">2021-10-26T16:42:00Z</dcterms:modified>
</cp:coreProperties>
</file>